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lastRenderedPageBreak/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7C8B72A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過去に医学部同窓会から奨学金の受給を受けたことがある場合は，同奨学金は受給できません．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183C4F86" w:rsidR="007E4F15" w:rsidRPr="0060366C" w:rsidRDefault="00975C98" w:rsidP="007E4F15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 xml:space="preserve">2024 </w:t>
            </w:r>
            <w:r w:rsidRPr="00975C98">
              <w:rPr>
                <w:rFonts w:ascii="游ゴシック" w:hAnsi="游ゴシック"/>
              </w:rPr>
              <w:t>Learning Clinical Reasoning Student Workshop</w:t>
            </w:r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4AB85C9A" w:rsidR="007E4F15" w:rsidRPr="0060366C" w:rsidRDefault="00A82834" w:rsidP="007E4F15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975C98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="00975C98">
              <w:rPr>
                <w:rFonts w:ascii="游ゴシック" w:eastAsia="游ゴシック" w:hAnsi="游ゴシック"/>
                <w:sz w:val="20"/>
                <w:szCs w:val="20"/>
              </w:rPr>
              <w:t>024</w:t>
            </w:r>
            <w:r w:rsidR="00975C98">
              <w:rPr>
                <w:rFonts w:ascii="游ゴシック" w:eastAsia="游ゴシック" w:hAnsi="游ゴシック" w:hint="eastAsia"/>
                <w:sz w:val="20"/>
                <w:szCs w:val="20"/>
              </w:rPr>
              <w:t>年　3月　1</w:t>
            </w:r>
            <w:r w:rsidR="00975C98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  <w:r w:rsidR="00975C98">
              <w:rPr>
                <w:rFonts w:ascii="游ゴシック" w:eastAsia="游ゴシック" w:hAnsi="游ゴシック" w:hint="eastAsia"/>
                <w:sz w:val="20"/>
                <w:szCs w:val="20"/>
              </w:rPr>
              <w:t>日～　2</w:t>
            </w:r>
            <w:r w:rsidR="00975C98">
              <w:rPr>
                <w:rFonts w:ascii="游ゴシック" w:eastAsia="游ゴシック" w:hAnsi="游ゴシック"/>
                <w:sz w:val="20"/>
                <w:szCs w:val="20"/>
              </w:rPr>
              <w:t>024</w:t>
            </w:r>
            <w:r w:rsidR="00975C98">
              <w:rPr>
                <w:rFonts w:ascii="游ゴシック" w:eastAsia="游ゴシック" w:hAnsi="游ゴシック" w:hint="eastAsia"/>
                <w:sz w:val="20"/>
                <w:szCs w:val="20"/>
              </w:rPr>
              <w:t>年　3月　2</w:t>
            </w:r>
            <w:r w:rsidR="00975C98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10B6C986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557811">
              <w:rPr>
                <w:rFonts w:ascii="Arial" w:hAnsi="Arial" w:cs="Arial"/>
                <w:color w:val="333333"/>
                <w:shd w:val="clear" w:color="auto" w:fill="F7F7F7"/>
              </w:rPr>
              <w:t>John A. Burns School of Medicine University of Hawaii</w:t>
            </w:r>
          </w:p>
          <w:p w14:paraId="52161CB9" w14:textId="44C9EF59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Office of Medical Education</w:t>
            </w:r>
          </w:p>
          <w:p w14:paraId="38D3DE92" w14:textId="0A4C30EA" w:rsidR="007F2710" w:rsidRDefault="007F2710" w:rsidP="0055781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 xml:space="preserve">651 </w:t>
            </w:r>
            <w:proofErr w:type="spellStart"/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Ilalo</w:t>
            </w:r>
            <w:proofErr w:type="spellEnd"/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 xml:space="preserve"> St., MEB 3rd Floor</w:t>
            </w:r>
            <w:r w:rsidR="00557811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Honolulu, Hawai‘i 96813-5534</w:t>
            </w:r>
          </w:p>
          <w:p w14:paraId="50C39EE7" w14:textId="44D0B697" w:rsidR="007F2710" w:rsidRPr="0060366C" w:rsidRDefault="007F2710" w:rsidP="0055781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557811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808) 692-0920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068F8FAC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  <w:r w:rsidR="00557811">
              <w:rPr>
                <w:rFonts w:ascii="游ゴシック" w:eastAsia="游ゴシック" w:hAnsi="游ゴシック"/>
                <w:sz w:val="20"/>
                <w:szCs w:val="20"/>
              </w:rPr>
              <w:t xml:space="preserve">Ms. 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Kori-Jo Kochi</w:t>
            </w:r>
          </w:p>
          <w:p w14:paraId="43A41A21" w14:textId="3FA83E64" w:rsidR="007F2710" w:rsidRDefault="007F2710" w:rsidP="0055781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Academic Support Specialist</w:t>
            </w:r>
            <w:r w:rsidR="00557811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International Coordinator</w:t>
            </w:r>
          </w:p>
          <w:p w14:paraId="49EF8319" w14:textId="6B669F40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kjkochi@hawaii.edu</w:t>
            </w:r>
          </w:p>
          <w:p w14:paraId="65FE6BD8" w14:textId="4E390D92" w:rsidR="007F2710" w:rsidRPr="0060366C" w:rsidRDefault="007F2710" w:rsidP="0055781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557811" w:rsidRPr="00557811">
              <w:rPr>
                <w:rFonts w:ascii="游ゴシック" w:eastAsia="游ゴシック" w:hAnsi="游ゴシック"/>
                <w:sz w:val="20"/>
                <w:szCs w:val="20"/>
              </w:rPr>
              <w:t>808-692-0929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7112319F" w:rsidR="00676206" w:rsidRPr="00A9495D" w:rsidRDefault="00557811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431785CC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55781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084FA4">
        <w:trPr>
          <w:trHeight w:val="8212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3A094701" w:rsidR="00676206" w:rsidRPr="00975C98" w:rsidRDefault="00975C98" w:rsidP="00975C98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975C98">
              <w:rPr>
                <w:rFonts w:ascii="游ゴシック" w:eastAsia="游ゴシック" w:hAnsi="游ゴシック"/>
                <w:sz w:val="20"/>
                <w:szCs w:val="20"/>
              </w:rPr>
              <w:t>(</w:t>
            </w:r>
            <w:r w:rsidR="00755F0F">
              <w:rPr>
                <w:rFonts w:ascii="游ゴシック" w:eastAsia="游ゴシック" w:hAnsi="游ゴシック" w:hint="eastAsia"/>
                <w:sz w:val="20"/>
                <w:szCs w:val="20"/>
              </w:rPr>
              <w:t>留学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が決まり次第</w:t>
            </w:r>
            <w:r w:rsidRPr="00975C98">
              <w:rPr>
                <w:rFonts w:ascii="游ゴシック" w:eastAsia="游ゴシック" w:hAnsi="游ゴシック" w:hint="eastAsia"/>
                <w:sz w:val="20"/>
                <w:szCs w:val="20"/>
              </w:rPr>
              <w:t>、大学指定の保険を案内します)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　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CA49" w14:textId="77777777" w:rsidR="004A29E7" w:rsidRDefault="004A29E7">
      <w:r>
        <w:separator/>
      </w:r>
    </w:p>
  </w:endnote>
  <w:endnote w:type="continuationSeparator" w:id="0">
    <w:p w14:paraId="22F77918" w14:textId="77777777" w:rsidR="004A29E7" w:rsidRDefault="004A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47CB6993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55F0F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8DE9" w14:textId="77777777" w:rsidR="004A29E7" w:rsidRDefault="004A29E7">
      <w:r>
        <w:separator/>
      </w:r>
    </w:p>
  </w:footnote>
  <w:footnote w:type="continuationSeparator" w:id="0">
    <w:p w14:paraId="78083D09" w14:textId="77777777" w:rsidR="004A29E7" w:rsidRDefault="004A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D061C"/>
    <w:rsid w:val="003E375F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A29E7"/>
    <w:rsid w:val="004B6FEF"/>
    <w:rsid w:val="004C2DEB"/>
    <w:rsid w:val="004F28EC"/>
    <w:rsid w:val="0052439D"/>
    <w:rsid w:val="0053203A"/>
    <w:rsid w:val="0054756C"/>
    <w:rsid w:val="00557811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55F0F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75C98"/>
    <w:rsid w:val="00981434"/>
    <w:rsid w:val="0098660A"/>
    <w:rsid w:val="0099083F"/>
    <w:rsid w:val="009976BB"/>
    <w:rsid w:val="009A351B"/>
    <w:rsid w:val="009D4633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C96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4</cp:revision>
  <cp:lastPrinted>2018-05-09T07:53:00Z</cp:lastPrinted>
  <dcterms:created xsi:type="dcterms:W3CDTF">2023-04-10T01:18:00Z</dcterms:created>
  <dcterms:modified xsi:type="dcterms:W3CDTF">2023-11-17T05:24:00Z</dcterms:modified>
</cp:coreProperties>
</file>